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35" w:type="dxa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7225"/>
        <w:gridCol w:w="1085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附件1：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973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eastAsia="zh-CN"/>
              </w:rPr>
              <w:t>抚远市创业就业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服务中心关于询价采购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202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4年公共就业服务活动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提供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就业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eastAsia="zh-CN"/>
              </w:rPr>
              <w:t>政策宣传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服务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eastAsia="zh-CN"/>
              </w:rPr>
              <w:t>活动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1" w:hRule="atLeast"/>
          <w:tblCellSpacing w:w="0" w:type="dxa"/>
          <w:jc w:val="center"/>
        </w:trPr>
        <w:tc>
          <w:tcPr>
            <w:tcW w:w="973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供应商名称：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single"/>
              </w:rPr>
              <w:t>                                         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         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评审时间： 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  年 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 月 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 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评审因素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评分细则</w:t>
            </w:r>
          </w:p>
        </w:tc>
        <w:tc>
          <w:tcPr>
            <w:tcW w:w="10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  <w:tblCellSpacing w:w="0" w:type="dxa"/>
          <w:jc w:val="center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评审总得分计算公式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供应商评审总得分为本综合评分表1至4项评审因素得分之和。</w:t>
            </w:r>
          </w:p>
        </w:tc>
        <w:tc>
          <w:tcPr>
            <w:tcW w:w="10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1.项目服务方案（40分）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1）内容完整，对本项目详细分析、理解透彻，需包含服务项目要求的所有内容，阐述明晰、全面、合理，服务方案切实可行，且对关键要求具有明确、深入的表述，内容有亮点有特色，完全满足或优于采购项目要求的，得40分。</w:t>
            </w:r>
          </w:p>
        </w:tc>
        <w:tc>
          <w:tcPr>
            <w:tcW w:w="10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2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2）内容完整，对本项目详细分析、理解透彻，需包含服务项目要求的所有内容，阐述明晰、全面、合理，服务方案切实可行，且对关键要求具有明确、深入的表述，方案内容一般，满足采购项目要求的，得20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3）内容完整，对本项目详细分析、基本理解，需包含服务项目要求的所有内容，阐述明晰、全面、合理，服务方案切实可行，且对关键要求没有具有明确、深入的表述，方案内容一般，基本满足采购项目要求的，得10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（4）内容不完整或未对针对性项目提出切实可行措施，无法达到预期效果的，不得分。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2.服务质量承诺、保障措施及违约承诺（20分）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（1）服务质量保障措施内容具体、完整，服务保障体系及措施完善，技术支持能力强，切实可行，有针对性，有积极响应采购人提出要求的承诺，并有具体服务质量和时限违约承诺，保证措施完善的，得20分。</w:t>
            </w:r>
          </w:p>
        </w:tc>
        <w:tc>
          <w:tcPr>
            <w:tcW w:w="10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2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（2）服务质量保障措施内容较好，服务保障体系及措施较好，技术支持能力强，可行，有积极响应采购人提出要求的承诺，并有具体服务质量和时限违约承诺，保证措施完善的，得10分。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（3）服务质量保障措施内容一般，服务保障体系及措施基本符合采购要求，技术支持能力一般或较差，可行，有积极响应采购人提出要求的承诺，但无违约承诺的，得5分。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（4）服务质量保障措施内容较差，无积极响应采购人提出要求的承诺和无具体违约承诺，未提供或存在重大偏差，不得分。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eastAsia="zh-CN"/>
              </w:rPr>
              <w:t>活动组织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案（20分）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（1）结合方案要求制定资金使用方案，方案合理具体、规划科学、切实可行，且方案总金额符合预算金额的，得20分。</w:t>
            </w:r>
          </w:p>
        </w:tc>
        <w:tc>
          <w:tcPr>
            <w:tcW w:w="10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（2）结合方案要求制定资金使用方案，方案一般，但合理、可行，且方案总金额符合预算金额的，得10分。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（3）未完全结合方案要求制定资金使用方案，但方案合理、可行，能够达到项目预期效果，且方案总金额符合预算金额的，得5分。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（4）方案无法到到预期效果或资金使用方案不合理、不可行或方案总金额不符合预算金额的，不得分。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4.保密制度及信息安全诺承及违约承诺(20分)</w:t>
            </w: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（1）具有严谨周密的保密制度内容具体，切实可行，有具体信息安全承诺及违约承诺的，得20分；</w:t>
            </w:r>
          </w:p>
        </w:tc>
        <w:tc>
          <w:tcPr>
            <w:tcW w:w="10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righ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（2）保密制度内容一般、可行，有具体信息安全承诺及违约承诺的，得10分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（3）保密制度内容宽泛，或仅有保密制度或信息安全承诺及违约承诺的，得5分。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723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（4）没有保密制度、信息安全承诺及违约承诺的，不得分</w:t>
            </w:r>
          </w:p>
        </w:tc>
        <w:tc>
          <w:tcPr>
            <w:tcW w:w="10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firstLine="0" w:firstLine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</w:p>
    <w:p/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000000"/>
    <w:rsid w:val="114D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2024-04-09T02:05:33Z</dcterms:created>
  <dc:creator>Administrator</dc:creator>
  <cp:lastModifiedBy>薄三升</cp:lastModifiedBy>
  <dcterms:modified xsi:type="dcterms:W3CDTF">2024-04-09T02:06:02Z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BDE50F2369DA4D3A8ADC10A16C3BFE8E_12</vt:lpwstr>
  </property>
</Properties>
</file>